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3"/>
        <w:tblpPr w:leftFromText="180" w:rightFromText="180" w:vertAnchor="page" w:horzAnchor="margin" w:tblpY="2201"/>
        <w:tblW w:w="82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6"/>
        <w:gridCol w:w="1403"/>
        <w:gridCol w:w="1119"/>
        <w:gridCol w:w="698"/>
        <w:gridCol w:w="422"/>
        <w:gridCol w:w="752"/>
        <w:gridCol w:w="529"/>
        <w:gridCol w:w="203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4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刘振宁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24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男</w:t>
            </w:r>
          </w:p>
        </w:tc>
        <w:tc>
          <w:tcPr>
            <w:tcW w:w="203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/>
                <w:b/>
                <w:sz w:val="24"/>
              </w:rPr>
              <w:drawing>
                <wp:inline distT="0" distB="0" distL="114300" distR="114300">
                  <wp:extent cx="1151890" cy="1674495"/>
                  <wp:effectExtent l="0" t="0" r="10160" b="1905"/>
                  <wp:docPr id="3" name="图片 1" descr="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A"/>
                          <pic:cNvPicPr>
                            <a:picLocks noRo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6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4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1964年8月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4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sz w:val="28"/>
              </w:rPr>
              <w:t>√</w:t>
            </w:r>
          </w:p>
        </w:tc>
        <w:tc>
          <w:tcPr>
            <w:tcW w:w="20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4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上海师范大学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401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博士</w:t>
            </w:r>
          </w:p>
        </w:tc>
        <w:tc>
          <w:tcPr>
            <w:tcW w:w="20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4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教授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401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贵州大学文学与传媒学院副院长/贵州大学中国文化书院副院长</w:t>
            </w:r>
          </w:p>
        </w:tc>
        <w:tc>
          <w:tcPr>
            <w:tcW w:w="20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4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83626726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401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znliu@126.com</w:t>
            </w:r>
          </w:p>
        </w:tc>
        <w:tc>
          <w:tcPr>
            <w:tcW w:w="20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8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4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比较文学与世界文学</w:t>
            </w:r>
          </w:p>
        </w:tc>
        <w:tc>
          <w:tcPr>
            <w:tcW w:w="2401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20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宗教学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tabs>
                <w:tab w:val="left" w:pos="6957"/>
                <w:tab w:val="left" w:pos="7272"/>
              </w:tabs>
              <w:spacing w:line="280" w:lineRule="exact"/>
              <w:ind w:firstLine="360" w:firstLineChars="200"/>
              <w:rPr>
                <w:rFonts w:hint="eastAsia" w:hAnsi="微软雅黑" w:eastAsia="微软雅黑"/>
                <w:sz w:val="18"/>
                <w:szCs w:val="18"/>
              </w:rPr>
            </w:pPr>
            <w:r>
              <w:rPr>
                <w:rFonts w:hint="eastAsia" w:hAnsi="微软雅黑" w:eastAsia="微软雅黑"/>
                <w:sz w:val="18"/>
                <w:szCs w:val="18"/>
              </w:rPr>
              <w:t>主要从事中外文学文化关系、传教士视阈中的中国文化形象、基督教与中国社会文化变迁等领域的研究。通过大量课题研究和田野作业，并借助长期指导研究生的经验，对中国基督教的古代史实（唐代景教）、贵州多元文化场域中的外来文化因素、苗族基督徒信仰现状、英语文献中的贵州形象等论题进行了系统探索。</w:t>
            </w:r>
          </w:p>
          <w:p>
            <w:pPr>
              <w:tabs>
                <w:tab w:val="left" w:pos="6957"/>
                <w:tab w:val="left" w:pos="7272"/>
              </w:tabs>
              <w:spacing w:line="280" w:lineRule="exact"/>
              <w:ind w:firstLine="422" w:firstLineChars="200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  <w:t>1、贵州大学人文社科学术创新团队建设项目“贵州文化场域中的外来文化因素研究”（GDWKT2013002, 2013.9—2016.8，主持），15万；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  <w:t>2、贵州大学校项目“基督教在黔民族地区的当下生态研究”（zx2013031, 2013.8—2014.6，主持），0.5万；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  <w:t xml:space="preserve">3、贵州大学教育教学改革研究重点项目“研讨式教学模式下的比较文学课程教学实践”（JG2013002，2013.9—2016.8，主持），3万； 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  <w:t xml:space="preserve">4、贵州省教育厅高等学校人文社会科学研究基地项目“黔西北苗族文化与基督文化的碰撞与交融”（JD2013005，2014.6—2015.6，主持），1.4万； 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  <w:t>5、贵州省教育厅高校人文社会科学研究项目“乌蒙山区苗族基督徒信仰现状研究”（14GH014，2014.9—2016.2，主持），0.76万；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  <w:t>6、贵州大学专项项目“《亚鲁王》文本及其演述仪式研究”（主持），0.5万；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  <w:t>7、贵州大学文科重点学科及特色学科重大科研项目“英语文献中的贵州形象研究（1860-1949）”（GDZT201506，2015.6—2018.5，主持），15万；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微软雅黑" w:eastAsia="微软雅黑"/>
                <w:sz w:val="18"/>
                <w:szCs w:val="18"/>
              </w:rPr>
            </w:pPr>
            <w:r>
              <w:rPr>
                <w:rFonts w:hint="eastAsia" w:ascii="Times New Roman" w:hAnsi="微软雅黑" w:eastAsia="微软雅黑"/>
                <w:sz w:val="18"/>
                <w:szCs w:val="18"/>
              </w:rPr>
              <w:t>8、贵州大学2016年度国家社科基金培育项目“晚清民国时期贵州形象研究”（GDPY2015021</w:t>
            </w:r>
            <w:r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  <w:t>，主持）</w:t>
            </w:r>
            <w:r>
              <w:rPr>
                <w:rFonts w:hint="eastAsia" w:ascii="Times New Roman" w:hAnsi="微软雅黑" w:eastAsia="微软雅黑"/>
                <w:sz w:val="18"/>
                <w:szCs w:val="18"/>
              </w:rPr>
              <w:t>，0.5万；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hAnsi="微软雅黑" w:eastAsia="微软雅黑" w:cs="Times New Roman"/>
                <w:sz w:val="18"/>
                <w:szCs w:val="18"/>
              </w:rPr>
            </w:pPr>
            <w:r>
              <w:rPr>
                <w:rFonts w:hint="eastAsia" w:hAnsi="微软雅黑" w:eastAsia="微软雅黑"/>
                <w:sz w:val="18"/>
                <w:szCs w:val="18"/>
              </w:rPr>
              <w:t>9</w:t>
            </w:r>
            <w:r>
              <w:rPr>
                <w:rFonts w:hint="eastAsia" w:hAnsi="微软雅黑" w:eastAsia="微软雅黑" w:cs="Times New Roman"/>
                <w:sz w:val="18"/>
                <w:szCs w:val="18"/>
              </w:rPr>
              <w:t>、2015国家社科重大招标项目</w:t>
            </w:r>
            <w:r>
              <w:rPr>
                <w:rFonts w:hint="eastAsia" w:ascii="宋体" w:hAnsi="宋体" w:cs="Times New Roman"/>
                <w:sz w:val="18"/>
                <w:szCs w:val="18"/>
              </w:rPr>
              <w:t>“</w:t>
            </w:r>
            <w:r>
              <w:rPr>
                <w:rFonts w:hint="eastAsia" w:hAnsi="微软雅黑" w:eastAsia="微软雅黑" w:cs="Times New Roman"/>
                <w:sz w:val="18"/>
                <w:szCs w:val="18"/>
              </w:rPr>
              <w:t>世界苗学通史”（首席专家：张晓教授，批准号：15ZDB113</w:t>
            </w:r>
            <w:r>
              <w:rPr>
                <w:rFonts w:hint="eastAsia" w:ascii="Times New Roman" w:hAnsi="微软雅黑" w:eastAsia="微软雅黑" w:cs="Times New Roman"/>
                <w:kern w:val="2"/>
                <w:sz w:val="18"/>
                <w:szCs w:val="18"/>
              </w:rPr>
              <w:t>，参与）</w:t>
            </w:r>
            <w:r>
              <w:rPr>
                <w:rFonts w:hint="eastAsia" w:hAnsi="微软雅黑" w:eastAsia="微软雅黑" w:cs="Times New Roman"/>
                <w:sz w:val="18"/>
                <w:szCs w:val="18"/>
              </w:rPr>
              <w:t>。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pStyle w:val="4"/>
              <w:spacing w:line="320" w:lineRule="exact"/>
              <w:ind w:firstLine="360" w:firstLineChars="200"/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</w:pPr>
          </w:p>
          <w:p>
            <w:pPr>
              <w:pStyle w:val="4"/>
              <w:spacing w:line="320" w:lineRule="exact"/>
              <w:ind w:firstLine="360" w:firstLineChars="200"/>
              <w:rPr>
                <w:rFonts w:ascii="Times New Roman" w:hAnsi="Times New Roman" w:eastAsia="微软雅黑" w:cs="Times New Roman"/>
                <w:kern w:val="2"/>
                <w:sz w:val="18"/>
                <w:szCs w:val="18"/>
              </w:rPr>
            </w:pPr>
            <w:r>
              <w:rPr>
                <w:rFonts w:ascii="Times New Roman" w:hAnsi="Times New Roman" w:eastAsia="微软雅黑" w:cs="Times New Roman"/>
                <w:kern w:val="2"/>
                <w:sz w:val="18"/>
                <w:szCs w:val="18"/>
              </w:rPr>
              <w:t>1、</w:t>
            </w: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刘振宁：《牛虻》初行中国历程及其演化根由论释 ——基于接受场域的视角，《中国语言文学论丛》（第一辑），北京：社会科学文献出版社2012年2月：454-461；</w:t>
            </w:r>
          </w:p>
          <w:p>
            <w:pPr>
              <w:pStyle w:val="4"/>
              <w:spacing w:line="320" w:lineRule="exact"/>
              <w:ind w:firstLine="360" w:firstLineChars="200"/>
              <w:rPr>
                <w:rFonts w:hint="eastAsia" w:ascii="Times New Roman" w:hAnsi="Times New Roman" w:eastAsia="微软雅黑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、</w:t>
            </w: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刘振宁：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论双语教学的“法”与“度”，《教育文化论坛》2012/3</w:t>
            </w: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：82-85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；</w:t>
            </w:r>
          </w:p>
          <w:p>
            <w:pPr>
              <w:pStyle w:val="4"/>
              <w:spacing w:line="320" w:lineRule="exact"/>
              <w:ind w:firstLine="360" w:firstLineChars="200"/>
              <w:rPr>
                <w:rFonts w:hint="eastAsia" w:ascii="Times New Roman" w:hAnsi="Times New Roman" w:eastAsia="微软雅黑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、</w:t>
            </w: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刘振宁：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论“比较文学”的教与学，《教育文化论坛》2012/6</w:t>
            </w: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：94-97；</w:t>
            </w:r>
          </w:p>
          <w:p>
            <w:pPr>
              <w:pStyle w:val="4"/>
              <w:spacing w:line="320" w:lineRule="exact"/>
              <w:ind w:firstLine="360" w:firstLineChars="200"/>
              <w:rPr>
                <w:rFonts w:hint="eastAsia" w:ascii="Times New Roman" w:hAnsi="Times New Roman" w:eastAsia="微软雅黑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、</w:t>
            </w: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刘振宁：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青岩基督教的当下生态窥要及其学理省思，《贵州大学学报》2014/2</w:t>
            </w: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：49-54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；</w:t>
            </w:r>
          </w:p>
          <w:p>
            <w:pPr>
              <w:pStyle w:val="4"/>
              <w:spacing w:line="320" w:lineRule="exact"/>
              <w:ind w:firstLine="360" w:firstLineChars="200"/>
              <w:rPr>
                <w:rFonts w:hint="eastAsia" w:ascii="Times New Roman" w:hAnsi="Times New Roman" w:eastAsia="微软雅黑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、</w:t>
            </w: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刘振宁：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柏格理道化苗疆方略及其机理论释——基于石门坎教区碑铭的考量，《宗教学研究》</w:t>
            </w:r>
          </w:p>
          <w:p>
            <w:pPr>
              <w:pStyle w:val="4"/>
              <w:spacing w:line="320" w:lineRule="exact"/>
              <w:rPr>
                <w:rFonts w:hint="eastAsia" w:ascii="Times New Roman" w:hAnsi="Times New Roman" w:eastAsia="微软雅黑" w:cs="Times New Roman"/>
                <w:sz w:val="18"/>
                <w:szCs w:val="18"/>
              </w:rPr>
            </w:pPr>
            <w:r>
              <w:rPr>
                <w:rFonts w:ascii="Times New Roman" w:hAnsi="Times New Roman" w:eastAsia="微软雅黑" w:cs="Times New Roman"/>
                <w:kern w:val="2"/>
                <w:sz w:val="18"/>
                <w:szCs w:val="18"/>
              </w:rPr>
              <w:t>（核心，CSSCI）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2014/3</w:t>
            </w: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：178-183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；</w:t>
            </w:r>
          </w:p>
          <w:p>
            <w:pPr>
              <w:pStyle w:val="4"/>
              <w:spacing w:line="320" w:lineRule="exact"/>
              <w:ind w:firstLine="360" w:firstLineChars="200"/>
              <w:rPr>
                <w:rFonts w:ascii="Times New Roman" w:hAnsi="Times New Roman" w:eastAsia="微软雅黑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6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、</w:t>
            </w: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刘振宁：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梵净山域外形象论略——基于英美主流媒体的解读，《贵州民族大学学报》2015/2</w:t>
            </w: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:13-16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；</w:t>
            </w:r>
          </w:p>
          <w:p>
            <w:pPr>
              <w:pStyle w:val="4"/>
              <w:spacing w:line="320" w:lineRule="exact"/>
              <w:ind w:firstLine="360" w:firstLineChars="200"/>
              <w:rPr>
                <w:rFonts w:ascii="Times New Roman" w:hAnsi="Times New Roman" w:eastAsia="微软雅黑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7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、</w:t>
            </w: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刘振宁：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王阳明谪黔心路及其嬗变根由解析，《贵州师范大学学报》</w:t>
            </w:r>
            <w:r>
              <w:rPr>
                <w:rFonts w:ascii="Times New Roman" w:hAnsi="Times New Roman" w:eastAsia="微软雅黑" w:cs="Times New Roman"/>
                <w:kern w:val="2"/>
                <w:sz w:val="18"/>
                <w:szCs w:val="18"/>
              </w:rPr>
              <w:t>（核心，CSSCI扩展版）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2015/6</w:t>
            </w: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：61-65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8、刘振宁：刘振宁：相似的镜像别异的风情 ——贾宝玉与奥涅金形象比较窥要 《中国语言文学论丛》（第二辑），北京：社会科学文献出版社2015年6月：443-453；</w:t>
            </w:r>
          </w:p>
          <w:p>
            <w:pPr>
              <w:pStyle w:val="4"/>
              <w:spacing w:line="320" w:lineRule="exact"/>
              <w:ind w:firstLine="36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9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、</w:t>
            </w: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刘振宁：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传统之力 载道之舟——黔西南布依山村天主教宣教对联功能解析，《宗教学研究》</w:t>
            </w:r>
            <w:r>
              <w:rPr>
                <w:rFonts w:ascii="Times New Roman" w:hAnsi="Times New Roman" w:eastAsia="微软雅黑" w:cs="Times New Roman"/>
                <w:kern w:val="2"/>
                <w:sz w:val="18"/>
                <w:szCs w:val="18"/>
              </w:rPr>
              <w:t>（核心，CSSCI）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2015/4</w:t>
            </w: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:238-245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Times New Roman" w:eastAsia="微软雅黑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、</w:t>
            </w: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刘振宁：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王阳明视域中的贵州形象研究，《现代哲学》</w:t>
            </w:r>
            <w:r>
              <w:rPr>
                <w:rFonts w:ascii="Times New Roman" w:hAnsi="Times New Roman" w:eastAsia="微软雅黑" w:cs="Times New Roman"/>
                <w:kern w:val="2"/>
                <w:sz w:val="18"/>
                <w:szCs w:val="18"/>
              </w:rPr>
              <w:t>（核心，CSSCI）</w:t>
            </w:r>
            <w:r>
              <w:rPr>
                <w:rFonts w:ascii="Times New Roman" w:hAnsi="Times New Roman" w:eastAsia="微软雅黑" w:cs="Times New Roman"/>
                <w:sz w:val="18"/>
                <w:szCs w:val="18"/>
              </w:rPr>
              <w:t>2015/6</w:t>
            </w:r>
            <w:r>
              <w:rPr>
                <w:rFonts w:hint="eastAsia" w:ascii="Times New Roman" w:hAnsi="Times New Roman" w:eastAsia="微软雅黑" w:cs="Times New Roman"/>
                <w:sz w:val="18"/>
                <w:szCs w:val="18"/>
              </w:rPr>
              <w:t>:99-106；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11、刘振宁 陶朝英：乌蒙山“四个包”苗寨基督教信仰现状调查及义理表达，《人文世界》（第七辑），贵阳：贵州大学出版社2016年5月：132-143；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12、朱小明 刘振宁：黔中平坝基督教教会现状检视及其特质诠释，《人文世界》（第七辑），贵阳：贵州大学出版社2016年5月：144-156；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  <w:t>13、刘振宁：“比较文学”研讨式教学的实践与省思，《教育文化论坛》2016/3：58-62。</w:t>
            </w:r>
          </w:p>
          <w:p>
            <w:pPr>
              <w:pStyle w:val="4"/>
              <w:spacing w:line="320" w:lineRule="exact"/>
              <w:ind w:firstLine="360"/>
              <w:rPr>
                <w:rFonts w:hint="eastAsia" w:ascii="Times New Roman" w:hAnsi="Times New Roman" w:eastAsia="微软雅黑" w:cs="Times New Roman"/>
                <w:kern w:val="2"/>
                <w:sz w:val="18"/>
                <w:szCs w:val="18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rPr>
                <w:rFonts w:hint="eastAsia" w:hAnsi="微软雅黑" w:eastAsia="微软雅黑"/>
                <w:sz w:val="18"/>
                <w:szCs w:val="18"/>
              </w:rPr>
            </w:pPr>
          </w:p>
          <w:p>
            <w:pPr>
              <w:rPr>
                <w:rFonts w:hint="eastAsia" w:hAnsi="微软雅黑" w:eastAsia="微软雅黑"/>
                <w:sz w:val="18"/>
                <w:szCs w:val="18"/>
              </w:rPr>
            </w:pPr>
            <w:r>
              <w:rPr>
                <w:rFonts w:hint="eastAsia" w:hAnsi="微软雅黑" w:eastAsia="微软雅黑"/>
                <w:sz w:val="18"/>
                <w:szCs w:val="18"/>
              </w:rPr>
              <w:t>1、贵州省第八届高等教育教学成果奖</w:t>
            </w:r>
            <w:r>
              <w:rPr>
                <w:rFonts w:hAnsi="微软雅黑" w:eastAsia="微软雅黑"/>
                <w:sz w:val="18"/>
                <w:szCs w:val="18"/>
              </w:rPr>
              <w:t>“</w:t>
            </w:r>
            <w:r>
              <w:rPr>
                <w:rFonts w:hint="eastAsia" w:hAnsi="微软雅黑" w:eastAsia="微软雅黑"/>
                <w:sz w:val="18"/>
                <w:szCs w:val="18"/>
              </w:rPr>
              <w:t>一等奖</w:t>
            </w:r>
            <w:r>
              <w:rPr>
                <w:rFonts w:hAnsi="微软雅黑" w:eastAsia="微软雅黑"/>
                <w:sz w:val="18"/>
                <w:szCs w:val="18"/>
              </w:rPr>
              <w:t>”</w:t>
            </w:r>
            <w:r>
              <w:rPr>
                <w:rFonts w:hint="eastAsia" w:hAnsi="微软雅黑" w:eastAsia="微软雅黑"/>
                <w:sz w:val="18"/>
                <w:szCs w:val="18"/>
              </w:rPr>
              <w:t>（</w:t>
            </w:r>
            <w:r>
              <w:rPr>
                <w:rFonts w:hAnsi="微软雅黑" w:eastAsia="微软雅黑"/>
                <w:sz w:val="18"/>
                <w:szCs w:val="18"/>
              </w:rPr>
              <w:t>2013</w:t>
            </w:r>
            <w:r>
              <w:rPr>
                <w:rFonts w:hint="eastAsia" w:hAnsi="微软雅黑" w:eastAsia="微软雅黑"/>
                <w:sz w:val="18"/>
                <w:szCs w:val="18"/>
              </w:rPr>
              <w:t>）；</w:t>
            </w:r>
          </w:p>
          <w:p>
            <w:pPr>
              <w:rPr>
                <w:rFonts w:hint="eastAsia" w:hAnsi="微软雅黑" w:eastAsia="微软雅黑"/>
                <w:sz w:val="18"/>
                <w:szCs w:val="18"/>
              </w:rPr>
            </w:pPr>
            <w:r>
              <w:rPr>
                <w:rFonts w:hint="eastAsia" w:hAnsi="微软雅黑" w:eastAsia="微软雅黑"/>
                <w:sz w:val="18"/>
                <w:szCs w:val="18"/>
              </w:rPr>
              <w:t>2、贵州大学“明德至善 博学笃行”优秀教师（2014）；</w:t>
            </w:r>
          </w:p>
          <w:p>
            <w:pPr>
              <w:rPr>
                <w:rFonts w:hint="eastAsia" w:hAnsi="微软雅黑" w:eastAsia="微软雅黑"/>
                <w:sz w:val="18"/>
                <w:szCs w:val="18"/>
              </w:rPr>
            </w:pPr>
            <w:r>
              <w:rPr>
                <w:rFonts w:hint="eastAsia" w:hAnsi="微软雅黑" w:eastAsia="微软雅黑"/>
                <w:sz w:val="18"/>
                <w:szCs w:val="18"/>
              </w:rPr>
              <w:t>3、</w:t>
            </w:r>
            <w:r>
              <w:rPr>
                <w:rFonts w:hAnsi="微软雅黑" w:eastAsia="微软雅黑"/>
                <w:sz w:val="18"/>
                <w:szCs w:val="18"/>
              </w:rPr>
              <w:t>贵州省第</w:t>
            </w:r>
            <w:r>
              <w:rPr>
                <w:rFonts w:hint="eastAsia" w:hAnsi="微软雅黑" w:eastAsia="微软雅黑"/>
                <w:sz w:val="18"/>
                <w:szCs w:val="18"/>
              </w:rPr>
              <w:t>十一</w:t>
            </w:r>
            <w:r>
              <w:rPr>
                <w:rFonts w:hAnsi="微软雅黑" w:eastAsia="微软雅黑"/>
                <w:sz w:val="18"/>
                <w:szCs w:val="18"/>
              </w:rPr>
              <w:t>次哲学社会科学优秀成果</w:t>
            </w:r>
            <w:r>
              <w:rPr>
                <w:rFonts w:hint="eastAsia" w:hAnsi="微软雅黑" w:eastAsia="微软雅黑"/>
                <w:sz w:val="18"/>
                <w:szCs w:val="18"/>
              </w:rPr>
              <w:t>论文</w:t>
            </w:r>
            <w:r>
              <w:rPr>
                <w:rFonts w:hAnsi="微软雅黑" w:eastAsia="微软雅黑"/>
                <w:sz w:val="18"/>
                <w:szCs w:val="18"/>
              </w:rPr>
              <w:t>类“</w:t>
            </w:r>
            <w:r>
              <w:rPr>
                <w:rFonts w:hint="eastAsia" w:hAnsi="微软雅黑" w:eastAsia="微软雅黑"/>
                <w:sz w:val="18"/>
                <w:szCs w:val="18"/>
              </w:rPr>
              <w:t>二</w:t>
            </w:r>
            <w:r>
              <w:rPr>
                <w:rFonts w:hAnsi="微软雅黑" w:eastAsia="微软雅黑"/>
                <w:sz w:val="18"/>
                <w:szCs w:val="18"/>
              </w:rPr>
              <w:t>等奖”</w:t>
            </w:r>
            <w:r>
              <w:rPr>
                <w:rFonts w:hint="eastAsia" w:hAnsi="微软雅黑" w:eastAsia="微软雅黑"/>
                <w:sz w:val="18"/>
                <w:szCs w:val="18"/>
              </w:rPr>
              <w:t>（</w:t>
            </w:r>
            <w:r>
              <w:rPr>
                <w:rFonts w:hAnsi="微软雅黑" w:eastAsia="微软雅黑"/>
                <w:sz w:val="18"/>
                <w:szCs w:val="18"/>
              </w:rPr>
              <w:t>201</w:t>
            </w:r>
            <w:r>
              <w:rPr>
                <w:rFonts w:hint="eastAsia" w:hAnsi="微软雅黑" w:eastAsia="微软雅黑"/>
                <w:sz w:val="18"/>
                <w:szCs w:val="18"/>
              </w:rPr>
              <w:t xml:space="preserve">5）。 </w:t>
            </w: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line="0" w:lineRule="atLeast"/>
              <w:ind w:left="383" w:hanging="383" w:hangingChars="213"/>
              <w:rPr>
                <w:rFonts w:hint="eastAsia" w:ascii="Times New Roman" w:hAnsi="Times New Roman" w:eastAsia="微软雅黑"/>
                <w:kern w:val="0"/>
                <w:sz w:val="18"/>
                <w:szCs w:val="18"/>
              </w:rPr>
            </w:pPr>
          </w:p>
          <w:p>
            <w:pPr>
              <w:widowControl/>
              <w:spacing w:line="0" w:lineRule="atLeast"/>
              <w:ind w:left="383" w:hanging="383" w:hangingChars="213"/>
              <w:rPr>
                <w:rFonts w:hint="eastAsia" w:ascii="Times New Roman" w:hAnsi="Times New Roman" w:eastAsia="微软雅黑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/>
                <w:kern w:val="0"/>
                <w:sz w:val="18"/>
                <w:szCs w:val="18"/>
              </w:rPr>
              <w:t>1、中国比较文学学会会员</w:t>
            </w:r>
          </w:p>
          <w:p>
            <w:pPr>
              <w:widowControl/>
              <w:spacing w:line="0" w:lineRule="atLeast"/>
              <w:ind w:left="383" w:hanging="383" w:hangingChars="213"/>
              <w:rPr>
                <w:rFonts w:hint="eastAsia" w:ascii="Times New Roman" w:hAnsi="Times New Roman" w:eastAsia="微软雅黑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/>
                <w:kern w:val="0"/>
                <w:sz w:val="18"/>
                <w:szCs w:val="18"/>
              </w:rPr>
              <w:t xml:space="preserve">2、贵州省宗教学会副主任 </w:t>
            </w:r>
          </w:p>
          <w:p>
            <w:pPr>
              <w:widowControl/>
              <w:spacing w:line="0" w:lineRule="atLeast"/>
              <w:ind w:left="383" w:hanging="383" w:hangingChars="213"/>
              <w:rPr>
                <w:rFonts w:hint="eastAsia" w:ascii="Times New Roman" w:hAnsi="Times New Roman" w:eastAsia="微软雅黑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微软雅黑"/>
                <w:kern w:val="0"/>
                <w:sz w:val="18"/>
                <w:szCs w:val="18"/>
              </w:rPr>
              <w:t>3、贵州省民宗委民族宗教类出版物审读（看）专家</w:t>
            </w:r>
          </w:p>
          <w:p>
            <w:pPr>
              <w:widowControl/>
              <w:spacing w:line="0" w:lineRule="atLeast"/>
              <w:ind w:left="449" w:hanging="449" w:hangingChars="213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/>
    <w:p/>
    <w:p/>
    <w:p/>
    <w:p/>
    <w:p/>
    <w:p/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3"/>
        <w:tblpPr w:leftFromText="180" w:rightFromText="180" w:vertAnchor="page" w:horzAnchor="margin" w:tblpX="-176" w:tblpY="2201"/>
        <w:tblW w:w="835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4"/>
        <w:gridCol w:w="1360"/>
        <w:gridCol w:w="1487"/>
        <w:gridCol w:w="729"/>
        <w:gridCol w:w="275"/>
        <w:gridCol w:w="688"/>
        <w:gridCol w:w="436"/>
        <w:gridCol w:w="186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3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汪太伟</w:t>
            </w:r>
          </w:p>
        </w:tc>
        <w:tc>
          <w:tcPr>
            <w:tcW w:w="14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12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男</w:t>
            </w:r>
          </w:p>
        </w:tc>
        <w:tc>
          <w:tcPr>
            <w:tcW w:w="186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-1218565</wp:posOffset>
                  </wp:positionV>
                  <wp:extent cx="960755" cy="1306195"/>
                  <wp:effectExtent l="0" t="0" r="10795" b="8255"/>
                  <wp:wrapSquare wrapText="bothSides"/>
                  <wp:docPr id="4" name="图片 2" descr="E:\360Downloads\照片\身份证照片\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E:\360Downloads\照片\身份证照片\432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1975年1月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7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4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√</w:t>
            </w:r>
          </w:p>
        </w:tc>
        <w:tc>
          <w:tcPr>
            <w:tcW w:w="18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上海师范大学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12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博士研究生</w:t>
            </w:r>
          </w:p>
        </w:tc>
        <w:tc>
          <w:tcPr>
            <w:tcW w:w="18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副教授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12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教师</w:t>
            </w:r>
          </w:p>
        </w:tc>
        <w:tc>
          <w:tcPr>
            <w:tcW w:w="18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12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347563240@qq.com</w:t>
            </w:r>
          </w:p>
        </w:tc>
        <w:tc>
          <w:tcPr>
            <w:tcW w:w="186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151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3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4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18"/>
                <w:szCs w:val="18"/>
              </w:rPr>
              <w:t>比较文学与世界文学中外文学与文化关系</w:t>
            </w:r>
          </w:p>
        </w:tc>
        <w:tc>
          <w:tcPr>
            <w:tcW w:w="2128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18"/>
                <w:szCs w:val="18"/>
              </w:rPr>
              <w:t>比较文学与世界文学、中国近现代文学及中外文学与文化关系。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1、主持贵州大学教育教学改革研究与实践项目：后现代教育思想下的中国现代文学教学研究（2013——2015年）。</w:t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2、参与贵州大学人文社科学术创新团队建设项目：贵州文化场域中的外来文化因素研究（2013——2016年）。</w:t>
            </w:r>
          </w:p>
          <w:p>
            <w:pPr>
              <w:widowControl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3、主持贵州省哲学社会科学规划一般课题：晚清外交官“使外文学”作品研究（2015——2017年）。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8358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1、汪太伟：《黎庶昌“使外文学”作品的新因素及其对中国近代散文发展的意义》,载《重庆师范大学学报》，2012年第1期，第80—86页。</w:t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2、汪太伟：《比较文学视域下的一部中国当代文学史力著——&lt;1949—2000中外文学比较史&gt;》,载《凯里学院学报》，2012年第1期，第,73—76页。</w:t>
            </w:r>
          </w:p>
          <w:p>
            <w:pPr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3、汪太伟：《黎庶昌“使外文学”作品的变革意识及其中西文化取向》，载《贵州文史丛刊》，2013年第2期，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第88—92页。</w:t>
            </w:r>
          </w:p>
          <w:p>
            <w:pPr>
              <w:widowControl/>
              <w:spacing w:line="0" w:lineRule="atLeast"/>
              <w:rPr>
                <w:rFonts w:hint="eastAsia" w:ascii="宋体" w:hAnsi="宋体"/>
                <w:sz w:val="18"/>
                <w:szCs w:val="18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汪太伟：</w:t>
            </w:r>
            <w:r>
              <w:rPr>
                <w:rFonts w:hint="eastAsia"/>
                <w:color w:val="000000"/>
                <w:sz w:val="18"/>
                <w:szCs w:val="18"/>
                <w:shd w:val="clear" w:color="auto" w:fill="FFFFFF"/>
              </w:rPr>
              <w:t>《西洋借镜与东洋唱和——黎庶昌“使外文学”创作研究》（专著），社会科学文献出版社2016年6月出版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8358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widowControl/>
              <w:spacing w:line="0" w:lineRule="atLeast"/>
              <w:rPr>
                <w:rFonts w:hint="eastAsia" w:ascii="宋体" w:hAnsi="宋体"/>
                <w:sz w:val="24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“贵州省第八届高等教育省级教学成果一等奖”，贵州省教育厅，2013年8月。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358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8358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1、中国现代文学学会会员</w:t>
            </w: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2、中国比较文学学会会员</w:t>
            </w:r>
          </w:p>
        </w:tc>
      </w:tr>
    </w:tbl>
    <w:p/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3"/>
        <w:tblpPr w:leftFromText="180" w:rightFromText="180" w:vertAnchor="page" w:horzAnchor="margin" w:tblpY="2201"/>
        <w:tblW w:w="82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3"/>
        <w:gridCol w:w="1451"/>
        <w:gridCol w:w="1204"/>
        <w:gridCol w:w="732"/>
        <w:gridCol w:w="588"/>
        <w:gridCol w:w="650"/>
        <w:gridCol w:w="532"/>
        <w:gridCol w:w="168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杨世海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性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502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男</w:t>
            </w:r>
          </w:p>
        </w:tc>
        <w:tc>
          <w:tcPr>
            <w:tcW w:w="168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drawing>
                <wp:inline distT="0" distB="0" distL="114300" distR="114300">
                  <wp:extent cx="934720" cy="1403350"/>
                  <wp:effectExtent l="0" t="0" r="17780" b="6350"/>
                  <wp:docPr id="5" name="图片 2" descr="文学院+杨世海+433027198010142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文学院+杨世海+4330271980101426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1980.10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7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√</w:t>
            </w:r>
          </w:p>
        </w:tc>
        <w:tc>
          <w:tcPr>
            <w:tcW w:w="1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</w:rPr>
              <w:t>湖南师范大学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50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博士</w:t>
            </w:r>
          </w:p>
        </w:tc>
        <w:tc>
          <w:tcPr>
            <w:tcW w:w="1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副教授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50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15285604961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50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si-gu@163.com</w:t>
            </w:r>
          </w:p>
        </w:tc>
        <w:tc>
          <w:tcPr>
            <w:tcW w:w="168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 w:val="18"/>
                <w:szCs w:val="18"/>
              </w:rPr>
              <w:t>比较文学与世界文学</w:t>
            </w:r>
          </w:p>
        </w:tc>
        <w:tc>
          <w:tcPr>
            <w:tcW w:w="250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1、俄苏文学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2、基督教与中国现代文学关系研究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3、贵州地方文化与外来文化关系研究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rPr>
                <w:rFonts w:hint="eastAsia" w:ascii="Times New Roman" w:hAnsi="宋体"/>
                <w:szCs w:val="21"/>
              </w:rPr>
            </w:pPr>
          </w:p>
          <w:p>
            <w:pPr>
              <w:rPr>
                <w:rFonts w:hint="eastAsia" w:ascii="Times New Roman" w:hAnsi="宋体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1、</w:t>
            </w:r>
            <w:r>
              <w:rPr>
                <w:rFonts w:ascii="Times New Roman" w:hAnsi="Times New Roman"/>
                <w:szCs w:val="21"/>
              </w:rPr>
              <w:t>参与，贵州大学人文社科学术创新团队建设项目：贵州多元文化场域中的外来文化因素研究（GDWKT2013002）：2013-2016。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2、</w:t>
            </w:r>
            <w:r>
              <w:rPr>
                <w:rFonts w:ascii="Times New Roman" w:hAnsi="Times New Roman"/>
                <w:szCs w:val="21"/>
              </w:rPr>
              <w:t>主持，贵州大学人才引进项目：抗战时期文化内迁中贵州文化对外来文化的影响研究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贵大人基合字</w:t>
            </w:r>
            <w:r>
              <w:rPr>
                <w:rFonts w:ascii="宋体" w:hAnsi="宋体"/>
                <w:szCs w:val="21"/>
              </w:rPr>
              <w:t>(</w:t>
            </w:r>
            <w:r>
              <w:rPr>
                <w:rFonts w:ascii="Times New Roman" w:hAnsi="Times New Roman"/>
                <w:szCs w:val="21"/>
              </w:rPr>
              <w:t>2013</w:t>
            </w:r>
            <w:r>
              <w:rPr>
                <w:rFonts w:ascii="宋体" w:hAnsi="宋体"/>
                <w:szCs w:val="21"/>
              </w:rPr>
              <w:t>)</w:t>
            </w:r>
            <w:r>
              <w:rPr>
                <w:rFonts w:ascii="Times New Roman" w:hAnsi="Times New Roman"/>
                <w:szCs w:val="21"/>
              </w:rPr>
              <w:t>002号，2013-2016。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3、</w:t>
            </w:r>
            <w:r>
              <w:rPr>
                <w:rFonts w:ascii="Times New Roman" w:hAnsi="Times New Roman"/>
                <w:szCs w:val="21"/>
              </w:rPr>
              <w:t>主持，贵州省哲学社会科学规划2014年青年课题：抗战时期贵州文化对外来文化的影响研（14GZQN21），2013-2016。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4、</w:t>
            </w:r>
            <w:r>
              <w:rPr>
                <w:rFonts w:ascii="Times New Roman" w:hAnsi="Times New Roman"/>
                <w:szCs w:val="21"/>
              </w:rPr>
              <w:t>参与，贵州大学教育教学改革研究项目：研讨式教学模式下的比较文学课程教学实践（JG2013002），2013-2015。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spacing w:line="360" w:lineRule="auto"/>
              <w:rPr>
                <w:rFonts w:hint="eastAsia" w:ascii="Times New Roman" w:hAnsi="Times New Roman"/>
                <w:szCs w:val="21"/>
              </w:rPr>
            </w:pPr>
          </w:p>
          <w:p>
            <w:pPr>
              <w:spacing w:line="360" w:lineRule="auto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/>
                <w:szCs w:val="21"/>
              </w:rPr>
              <w:t>、杨世海，揭示分裂，追求聚合统一</w:t>
            </w:r>
            <w:r>
              <w:rPr>
                <w:rFonts w:ascii="Times New Roman" w:hAnsi="Times New Roman"/>
                <w:szCs w:val="21"/>
              </w:rPr>
              <w:t>——</w:t>
            </w:r>
            <w:r>
              <w:rPr>
                <w:rFonts w:ascii="Times New Roman"/>
                <w:szCs w:val="21"/>
              </w:rPr>
              <w:t>拉斯普京作品的深层内蕴，《中南大学学报》（社会科学版）</w:t>
            </w:r>
            <w:r>
              <w:rPr>
                <w:rFonts w:ascii="Times New Roman" w:hAnsi="Times New Roman"/>
                <w:szCs w:val="21"/>
              </w:rPr>
              <w:t>2012</w:t>
            </w:r>
            <w:r>
              <w:rPr>
                <w:rFonts w:ascii="Times New Roman"/>
                <w:szCs w:val="21"/>
              </w:rPr>
              <w:t>年，第</w:t>
            </w:r>
            <w:r>
              <w:rPr>
                <w:rFonts w:ascii="Times New Roman" w:hAnsi="Times New Roman"/>
                <w:szCs w:val="21"/>
              </w:rPr>
              <w:t>18</w:t>
            </w:r>
            <w:r>
              <w:rPr>
                <w:rFonts w:ascii="Times New Roman"/>
                <w:szCs w:val="21"/>
              </w:rPr>
              <w:t>卷第</w:t>
            </w: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/>
                <w:szCs w:val="21"/>
              </w:rPr>
              <w:t>期，</w:t>
            </w:r>
            <w:r>
              <w:rPr>
                <w:rFonts w:ascii="Times New Roman" w:hAnsi="Times New Roman"/>
                <w:szCs w:val="21"/>
              </w:rPr>
              <w:t>204-210</w:t>
            </w:r>
            <w:r>
              <w:rPr>
                <w:rFonts w:ascii="Times New Roman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/>
                <w:szCs w:val="21"/>
              </w:rPr>
              <w:t>、杨世海，石门坎兴衰原因的精神考察及启示，《基督教思想评论》，</w:t>
            </w:r>
            <w:r>
              <w:rPr>
                <w:rFonts w:ascii="Times New Roman" w:hAnsi="Times New Roman"/>
                <w:szCs w:val="21"/>
              </w:rPr>
              <w:t>2013</w:t>
            </w:r>
            <w:r>
              <w:rPr>
                <w:rFonts w:ascii="Times New Roman"/>
                <w:szCs w:val="21"/>
              </w:rPr>
              <w:t>年，第</w:t>
            </w:r>
            <w:r>
              <w:rPr>
                <w:rFonts w:ascii="Times New Roman" w:hAnsi="Times New Roman"/>
                <w:szCs w:val="21"/>
              </w:rPr>
              <w:t>16</w:t>
            </w:r>
            <w:r>
              <w:rPr>
                <w:rFonts w:ascii="Times New Roman"/>
                <w:szCs w:val="21"/>
              </w:rPr>
              <w:t>辑，</w:t>
            </w:r>
            <w:r>
              <w:rPr>
                <w:rFonts w:ascii="Times New Roman" w:hAnsi="Times New Roman"/>
                <w:szCs w:val="21"/>
              </w:rPr>
              <w:t>219-234</w:t>
            </w:r>
            <w:r>
              <w:rPr>
                <w:rFonts w:ascii="Times New Roman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/>
                <w:szCs w:val="21"/>
              </w:rPr>
              <w:t>、拥抱苦难，寻找人生意义</w:t>
            </w:r>
            <w:r>
              <w:rPr>
                <w:rFonts w:ascii="Times New Roman" w:hAnsi="Times New Roman"/>
                <w:szCs w:val="21"/>
              </w:rPr>
              <w:t>——</w:t>
            </w:r>
            <w:r>
              <w:rPr>
                <w:rFonts w:ascii="Times New Roman"/>
                <w:szCs w:val="21"/>
              </w:rPr>
              <w:t>许地</w:t>
            </w:r>
            <w:r>
              <w:rPr>
                <w:rFonts w:ascii="宋体" w:hAnsi="宋体"/>
                <w:szCs w:val="21"/>
              </w:rPr>
              <w:t>山“生本不乐”下的</w:t>
            </w:r>
            <w:r>
              <w:rPr>
                <w:rFonts w:ascii="Times New Roman"/>
                <w:szCs w:val="21"/>
              </w:rPr>
              <w:t>救赎，《湖南科技学院学报》，</w:t>
            </w:r>
            <w:r>
              <w:rPr>
                <w:rFonts w:ascii="Times New Roman" w:hAnsi="Times New Roman"/>
                <w:szCs w:val="21"/>
              </w:rPr>
              <w:t>2013</w:t>
            </w:r>
            <w:r>
              <w:rPr>
                <w:rFonts w:ascii="Times New Roman"/>
                <w:szCs w:val="21"/>
              </w:rPr>
              <w:t>年，第</w:t>
            </w:r>
            <w:r>
              <w:rPr>
                <w:rFonts w:ascii="Times New Roman" w:hAnsi="Times New Roman"/>
                <w:szCs w:val="21"/>
              </w:rPr>
              <w:t>34</w:t>
            </w:r>
            <w:r>
              <w:rPr>
                <w:rFonts w:ascii="Times New Roman"/>
                <w:szCs w:val="21"/>
              </w:rPr>
              <w:t>卷第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/>
                <w:szCs w:val="21"/>
              </w:rPr>
              <w:t>期，</w:t>
            </w:r>
            <w:r>
              <w:rPr>
                <w:rFonts w:ascii="Times New Roman" w:hAnsi="Times New Roman"/>
                <w:szCs w:val="21"/>
              </w:rPr>
              <w:t>54-57</w:t>
            </w:r>
            <w:r>
              <w:rPr>
                <w:rFonts w:ascii="Times New Roman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Times New Roman"/>
                <w:szCs w:val="21"/>
              </w:rPr>
              <w:t>、基督教影响下的新</w:t>
            </w:r>
            <w:bookmarkStart w:id="0" w:name="OLE_LINK5"/>
            <w:r>
              <w:rPr>
                <w:rFonts w:ascii="Times New Roman"/>
                <w:szCs w:val="21"/>
              </w:rPr>
              <w:t>伦理探索</w:t>
            </w:r>
            <w:bookmarkEnd w:id="0"/>
            <w:r>
              <w:rPr>
                <w:rFonts w:ascii="Times New Roman"/>
                <w:szCs w:val="21"/>
              </w:rPr>
              <w:t>及当代意义</w:t>
            </w:r>
            <w:r>
              <w:rPr>
                <w:rFonts w:ascii="Times New Roman" w:hAnsi="Times New Roman"/>
                <w:szCs w:val="21"/>
              </w:rPr>
              <w:t>——</w:t>
            </w:r>
            <w:r>
              <w:rPr>
                <w:rFonts w:ascii="Times New Roman"/>
                <w:szCs w:val="21"/>
              </w:rPr>
              <w:t>许地山作品中的伦理追求，</w:t>
            </w:r>
          </w:p>
          <w:p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/>
                <w:szCs w:val="21"/>
              </w:rPr>
              <w:t>《湖南工业大学学报》（社会科学版），</w:t>
            </w:r>
            <w:r>
              <w:rPr>
                <w:rFonts w:ascii="Times New Roman" w:hAnsi="Times New Roman"/>
                <w:szCs w:val="21"/>
              </w:rPr>
              <w:t>2013</w:t>
            </w:r>
            <w:r>
              <w:rPr>
                <w:rFonts w:ascii="Times New Roman"/>
                <w:szCs w:val="21"/>
              </w:rPr>
              <w:t>年，第</w:t>
            </w:r>
            <w:r>
              <w:rPr>
                <w:rFonts w:ascii="Times New Roman" w:hAnsi="Times New Roman"/>
                <w:szCs w:val="21"/>
              </w:rPr>
              <w:t>18</w:t>
            </w:r>
            <w:r>
              <w:rPr>
                <w:rFonts w:ascii="Times New Roman"/>
                <w:szCs w:val="21"/>
              </w:rPr>
              <w:t>卷第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/>
                <w:szCs w:val="21"/>
              </w:rPr>
              <w:t>期，</w:t>
            </w:r>
            <w:r>
              <w:rPr>
                <w:rFonts w:ascii="Times New Roman" w:hAnsi="Times New Roman"/>
                <w:szCs w:val="21"/>
              </w:rPr>
              <w:t>71-76</w:t>
            </w:r>
            <w:r>
              <w:rPr>
                <w:rFonts w:ascii="Times New Roman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  <w:r>
              <w:rPr>
                <w:rFonts w:ascii="Times New Roman"/>
                <w:szCs w:val="21"/>
              </w:rPr>
              <w:t>、从《玉官》看许地山的基督教和中西文化观，《广州大学学报》（社会科学版），</w:t>
            </w:r>
            <w:r>
              <w:rPr>
                <w:rFonts w:ascii="Times New Roman" w:hAnsi="Times New Roman"/>
                <w:szCs w:val="21"/>
              </w:rPr>
              <w:t>2013</w:t>
            </w:r>
            <w:r>
              <w:rPr>
                <w:rFonts w:ascii="Times New Roman"/>
                <w:szCs w:val="21"/>
              </w:rPr>
              <w:t>年，第</w:t>
            </w:r>
            <w:r>
              <w:rPr>
                <w:rFonts w:ascii="Times New Roman" w:hAnsi="Times New Roman"/>
                <w:szCs w:val="21"/>
              </w:rPr>
              <w:t>12</w:t>
            </w:r>
            <w:r>
              <w:rPr>
                <w:rFonts w:ascii="Times New Roman"/>
                <w:szCs w:val="21"/>
              </w:rPr>
              <w:t>卷第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/>
                <w:szCs w:val="21"/>
              </w:rPr>
              <w:t>期，</w:t>
            </w:r>
            <w:r>
              <w:rPr>
                <w:rFonts w:ascii="Times New Roman" w:hAnsi="Times New Roman"/>
                <w:szCs w:val="21"/>
              </w:rPr>
              <w:t>86-91</w:t>
            </w:r>
            <w:r>
              <w:rPr>
                <w:rFonts w:ascii="Times New Roman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  <w:r>
              <w:rPr>
                <w:rFonts w:ascii="Times New Roman"/>
                <w:szCs w:val="21"/>
              </w:rPr>
              <w:t>、鲁迅与非基督教运动，《中南大学学报》（社会科学版），</w:t>
            </w:r>
            <w:r>
              <w:rPr>
                <w:rFonts w:ascii="Times New Roman" w:hAnsi="Times New Roman"/>
                <w:szCs w:val="21"/>
              </w:rPr>
              <w:t>2013</w:t>
            </w:r>
            <w:r>
              <w:rPr>
                <w:rFonts w:ascii="Times New Roman"/>
                <w:szCs w:val="21"/>
              </w:rPr>
              <w:t>年第</w:t>
            </w:r>
            <w:r>
              <w:rPr>
                <w:rFonts w:ascii="Times New Roman" w:hAnsi="Times New Roman"/>
                <w:szCs w:val="21"/>
              </w:rPr>
              <w:t>19</w:t>
            </w:r>
            <w:r>
              <w:rPr>
                <w:rFonts w:ascii="Times New Roman"/>
                <w:szCs w:val="21"/>
              </w:rPr>
              <w:t>卷第</w:t>
            </w: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/>
                <w:szCs w:val="21"/>
              </w:rPr>
              <w:t>期，</w:t>
            </w:r>
            <w:r>
              <w:rPr>
                <w:rFonts w:ascii="Times New Roman" w:hAnsi="Times New Roman"/>
                <w:szCs w:val="21"/>
              </w:rPr>
              <w:t>158-163</w:t>
            </w:r>
            <w:r>
              <w:rPr>
                <w:rFonts w:ascii="Times New Roman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</w:t>
            </w:r>
            <w:r>
              <w:rPr>
                <w:rFonts w:ascii="Times New Roman"/>
                <w:szCs w:val="21"/>
              </w:rPr>
              <w:t>、非基督教对中国现代文学的影响，《学术月刊》，</w:t>
            </w:r>
            <w:r>
              <w:rPr>
                <w:rFonts w:ascii="Times New Roman" w:hAnsi="Times New Roman"/>
                <w:szCs w:val="21"/>
              </w:rPr>
              <w:t>2013</w:t>
            </w:r>
            <w:r>
              <w:rPr>
                <w:rFonts w:ascii="Times New Roman"/>
                <w:szCs w:val="21"/>
              </w:rPr>
              <w:t>年，第</w:t>
            </w:r>
            <w:r>
              <w:rPr>
                <w:rFonts w:ascii="Times New Roman" w:hAnsi="Times New Roman"/>
                <w:szCs w:val="21"/>
              </w:rPr>
              <w:t>45</w:t>
            </w:r>
            <w:r>
              <w:rPr>
                <w:rFonts w:ascii="Times New Roman"/>
                <w:szCs w:val="21"/>
              </w:rPr>
              <w:t>卷第</w:t>
            </w:r>
            <w:r>
              <w:rPr>
                <w:rFonts w:ascii="Times New Roman" w:hAnsi="Times New Roman"/>
                <w:szCs w:val="21"/>
              </w:rPr>
              <w:t>5</w:t>
            </w:r>
            <w:r>
              <w:rPr>
                <w:rFonts w:ascii="Times New Roman"/>
                <w:szCs w:val="21"/>
              </w:rPr>
              <w:t>期，</w:t>
            </w:r>
            <w:r>
              <w:rPr>
                <w:rFonts w:ascii="Times New Roman" w:hAnsi="Times New Roman"/>
                <w:szCs w:val="21"/>
              </w:rPr>
              <w:t>122-128</w:t>
            </w:r>
            <w:r>
              <w:rPr>
                <w:rFonts w:ascii="Times New Roman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</w:t>
            </w:r>
            <w:r>
              <w:rPr>
                <w:rFonts w:ascii="Times New Roman"/>
                <w:szCs w:val="21"/>
              </w:rPr>
              <w:t>、中国现代文学接受基督教文化的困境与缺失，《基督教思想评论》第</w:t>
            </w:r>
            <w:r>
              <w:rPr>
                <w:rFonts w:ascii="Times New Roman" w:hAnsi="Times New Roman"/>
                <w:szCs w:val="21"/>
              </w:rPr>
              <w:t>18</w:t>
            </w:r>
            <w:r>
              <w:rPr>
                <w:rFonts w:ascii="Times New Roman"/>
                <w:szCs w:val="21"/>
              </w:rPr>
              <w:t>辑），</w:t>
            </w:r>
            <w:r>
              <w:rPr>
                <w:rFonts w:ascii="Times New Roman" w:hAnsi="Times New Roman"/>
                <w:szCs w:val="21"/>
              </w:rPr>
              <w:t>2014</w:t>
            </w:r>
            <w:r>
              <w:rPr>
                <w:rFonts w:ascii="Times New Roman"/>
                <w:szCs w:val="21"/>
              </w:rPr>
              <w:t>年，第</w:t>
            </w:r>
            <w:r>
              <w:rPr>
                <w:rFonts w:ascii="Times New Roman" w:hAnsi="Times New Roman"/>
                <w:szCs w:val="21"/>
              </w:rPr>
              <w:t>18</w:t>
            </w:r>
            <w:r>
              <w:rPr>
                <w:rFonts w:ascii="Times New Roman"/>
                <w:szCs w:val="21"/>
              </w:rPr>
              <w:t>辑，</w:t>
            </w:r>
            <w:r>
              <w:rPr>
                <w:rFonts w:ascii="Times New Roman" w:hAnsi="Times New Roman"/>
                <w:szCs w:val="21"/>
              </w:rPr>
              <w:t>207-221</w:t>
            </w:r>
            <w:r>
              <w:rPr>
                <w:rFonts w:ascii="Times New Roman"/>
                <w:szCs w:val="21"/>
              </w:rPr>
              <w:t>。</w:t>
            </w:r>
          </w:p>
          <w:p>
            <w:pPr>
              <w:spacing w:line="360" w:lineRule="auto"/>
              <w:rPr>
                <w:rFonts w:ascii="Times New Roman" w:hAnsi="Times New Roman" w:eastAsia="楷体_GB2312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</w:t>
            </w:r>
            <w:r>
              <w:rPr>
                <w:rFonts w:ascii="Times New Roman"/>
                <w:szCs w:val="21"/>
              </w:rPr>
              <w:t>、</w:t>
            </w:r>
            <w:r>
              <w:rPr>
                <w:rFonts w:ascii="Times New Roman" w:hAnsi="宋体"/>
                <w:szCs w:val="21"/>
              </w:rPr>
              <w:t>冰心与基督教文化关系再议，</w:t>
            </w:r>
            <w:r>
              <w:rPr>
                <w:rFonts w:ascii="Times New Roman" w:hAnsi="Times New Roman"/>
                <w:szCs w:val="21"/>
              </w:rPr>
              <w:t>《贵州大学学报》（社会科学</w:t>
            </w:r>
            <w:r>
              <w:rPr>
                <w:rFonts w:ascii="Times New Roman"/>
                <w:szCs w:val="21"/>
              </w:rPr>
              <w:t>版），</w:t>
            </w:r>
            <w:r>
              <w:rPr>
                <w:rFonts w:ascii="Times New Roman" w:hAnsi="Times New Roman"/>
                <w:szCs w:val="21"/>
              </w:rPr>
              <w:t>2015</w:t>
            </w:r>
            <w:r>
              <w:rPr>
                <w:rFonts w:ascii="Times New Roman"/>
                <w:szCs w:val="21"/>
              </w:rPr>
              <w:t>年，第</w:t>
            </w:r>
            <w:r>
              <w:rPr>
                <w:rFonts w:ascii="Times New Roman" w:hAnsi="Times New Roman"/>
                <w:szCs w:val="21"/>
              </w:rPr>
              <w:t>33</w:t>
            </w:r>
            <w:r>
              <w:rPr>
                <w:rFonts w:ascii="Times New Roman"/>
                <w:szCs w:val="21"/>
              </w:rPr>
              <w:t>卷第</w:t>
            </w:r>
            <w:r>
              <w:rPr>
                <w:rFonts w:ascii="Times New Roman" w:hAnsi="Times New Roman"/>
                <w:szCs w:val="21"/>
              </w:rPr>
              <w:t>1期，130-135。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/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165B39"/>
    <w:rsid w:val="7BA02EA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0"/>
    <w:basedOn w:val="1"/>
    <w:qFormat/>
    <w:uiPriority w:val="0"/>
    <w:pPr>
      <w:widowControl/>
      <w:jc w:val="left"/>
    </w:pPr>
    <w:rPr>
      <w:rFonts w:ascii="仿宋" w:hAnsi="仿宋" w:cs="宋体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2016-09-12T11:50:37Z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